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76F1E" w14:textId="69C7D227" w:rsidR="006D134E" w:rsidRPr="00F45635" w:rsidRDefault="00000000">
      <w:pPr>
        <w:spacing w:after="0"/>
        <w:jc w:val="center"/>
        <w:rPr>
          <w:lang w:val="uk-UA"/>
        </w:rPr>
      </w:pPr>
      <w:r>
        <w:rPr>
          <w:b/>
          <w:sz w:val="28"/>
        </w:rPr>
        <w:t xml:space="preserve">ПРОТОКОЛ № </w:t>
      </w:r>
      <w:r w:rsidR="00F45635">
        <w:rPr>
          <w:b/>
          <w:sz w:val="28"/>
          <w:lang w:val="uk-UA"/>
        </w:rPr>
        <w:t>4</w:t>
      </w:r>
    </w:p>
    <w:p w14:paraId="2F6E8F31" w14:textId="77777777" w:rsidR="006D134E" w:rsidRDefault="00000000">
      <w:pPr>
        <w:spacing w:after="120"/>
        <w:jc w:val="center"/>
      </w:pPr>
      <w:r>
        <w:rPr>
          <w:b/>
        </w:rPr>
        <w:t>засідання Правління Громадської організації «Інженерний освітній фонд»</w:t>
      </w:r>
    </w:p>
    <w:p w14:paraId="3F78149B" w14:textId="77777777" w:rsidR="006D134E" w:rsidRDefault="00000000">
      <w:pPr>
        <w:spacing w:after="200"/>
        <w:jc w:val="center"/>
      </w:pPr>
      <w:r>
        <w:t>м. Київ                                                                 «07» травня 2026 року</w:t>
      </w:r>
    </w:p>
    <w:p w14:paraId="7CBB606C" w14:textId="77777777" w:rsidR="006D134E" w:rsidRDefault="00000000">
      <w:r>
        <w:rPr>
          <w:b/>
        </w:rPr>
        <w:t>Присутні члени Правління:</w:t>
      </w:r>
    </w:p>
    <w:p w14:paraId="3B6F1D26" w14:textId="77777777" w:rsidR="006D134E" w:rsidRDefault="00000000">
      <w:pPr>
        <w:spacing w:after="20"/>
      </w:pPr>
      <w:r>
        <w:t>Головчук Юліан Володимирович — Голова Організації;</w:t>
      </w:r>
    </w:p>
    <w:p w14:paraId="30BE15D8" w14:textId="77777777" w:rsidR="006D134E" w:rsidRDefault="00000000">
      <w:pPr>
        <w:spacing w:after="20"/>
      </w:pPr>
      <w:r>
        <w:t>Лисенко Олександр Миколайович — член Правління;</w:t>
      </w:r>
    </w:p>
    <w:p w14:paraId="0758CD8C" w14:textId="77777777" w:rsidR="006D134E" w:rsidRDefault="00000000">
      <w:pPr>
        <w:spacing w:after="20"/>
      </w:pPr>
      <w:r>
        <w:t>Іваннік Геннадій Васильович — член Правління.</w:t>
      </w:r>
    </w:p>
    <w:p w14:paraId="74D231AC" w14:textId="77777777" w:rsidR="006D134E" w:rsidRDefault="00000000">
      <w:pPr>
        <w:spacing w:after="160"/>
      </w:pPr>
      <w:r>
        <w:rPr>
          <w:b/>
        </w:rPr>
        <w:t>Кворум наявний: присутні 3 з 3 членів Правління.</w:t>
      </w:r>
    </w:p>
    <w:p w14:paraId="3EC88E11" w14:textId="77777777" w:rsidR="006D134E" w:rsidRDefault="00000000">
      <w:pPr>
        <w:spacing w:after="20"/>
      </w:pPr>
      <w:r>
        <w:t>Головуючий засідання: Головчук Ю. В.</w:t>
      </w:r>
    </w:p>
    <w:p w14:paraId="2EFF024F" w14:textId="77777777" w:rsidR="006D134E" w:rsidRDefault="00000000">
      <w:pPr>
        <w:spacing w:after="200"/>
      </w:pPr>
      <w:r>
        <w:t>Секретар засідання: Лисенко О. М.</w:t>
      </w:r>
    </w:p>
    <w:p w14:paraId="08086C44" w14:textId="77777777" w:rsidR="006D134E" w:rsidRDefault="00000000">
      <w:pPr>
        <w:spacing w:after="120"/>
        <w:jc w:val="center"/>
      </w:pPr>
      <w:r>
        <w:rPr>
          <w:b/>
        </w:rPr>
        <w:t>ПОРЯДОК ДЕННИЙ:</w:t>
      </w:r>
    </w:p>
    <w:p w14:paraId="462E1ED5" w14:textId="77777777" w:rsidR="006D134E" w:rsidRDefault="00000000">
      <w:pPr>
        <w:spacing w:after="40"/>
        <w:ind w:left="340" w:hanging="227"/>
      </w:pPr>
      <w:r>
        <w:t>1. Про початок реалізації наукового проєкту «Розробка та валідація алгоритму детекції м’язової активації в реальному часі для керування асистивним шийним ортезом».</w:t>
      </w:r>
    </w:p>
    <w:p w14:paraId="726198B5" w14:textId="77777777" w:rsidR="006D134E" w:rsidRDefault="00000000">
      <w:pPr>
        <w:spacing w:after="40"/>
        <w:ind w:left="340" w:hanging="227"/>
      </w:pPr>
      <w:r>
        <w:t>2. Про порядок фінансування виплат учасникам дослідження за рахунок цільових благодійних внесків.</w:t>
      </w:r>
    </w:p>
    <w:p w14:paraId="252C54F6" w14:textId="77777777" w:rsidR="006D134E" w:rsidRDefault="00000000">
      <w:pPr>
        <w:spacing w:after="120"/>
        <w:jc w:val="center"/>
      </w:pPr>
      <w:r>
        <w:rPr>
          <w:b/>
        </w:rPr>
        <w:t>ПО ПЕРШОМУ ПИТАННЮ</w:t>
      </w:r>
    </w:p>
    <w:p w14:paraId="30C428ED" w14:textId="77777777" w:rsidR="006D134E" w:rsidRDefault="00000000">
      <w:r>
        <w:rPr>
          <w:b/>
        </w:rPr>
        <w:t xml:space="preserve">СЛУХАЛИ: </w:t>
      </w:r>
      <w:r>
        <w:t>Голову Організації Головчука Ю. В., який запропонував розпочати реалізацію наукового проєкту «Розробка та валідація алгоритму детекції м’язової активації в реальному часі для керування асистивним шийним ортезом», що відповідає статутній меті Організації, зокрема підтримці наукових досліджень.</w:t>
      </w:r>
    </w:p>
    <w:p w14:paraId="7062D17B" w14:textId="77777777" w:rsidR="006D134E" w:rsidRDefault="00000000">
      <w:r>
        <w:rPr>
          <w:b/>
        </w:rPr>
        <w:t xml:space="preserve">УХВАЛИЛИ: </w:t>
      </w:r>
      <w:r>
        <w:t>Розпочати реалізацію наукового проєкту «Розробка та валідація алгоритму детекції м’язової активації в реальному часі для керування асистивним шийним ортезом» у партнерстві з кафедрою КЕОА ФЕЛ КПІ ім. Ігоря Сікорського.</w:t>
      </w:r>
    </w:p>
    <w:p w14:paraId="1A0B3D2B" w14:textId="77777777" w:rsidR="006D134E" w:rsidRDefault="00000000">
      <w:pPr>
        <w:spacing w:after="200"/>
      </w:pPr>
      <w:r>
        <w:rPr>
          <w:b/>
        </w:rPr>
        <w:t xml:space="preserve">ГОЛОСУВАЛИ: </w:t>
      </w:r>
      <w:r>
        <w:t>«за» — 3, «проти» — 0, «утрималися» — 0.</w:t>
      </w:r>
    </w:p>
    <w:p w14:paraId="3C365A3C" w14:textId="77777777" w:rsidR="006D134E" w:rsidRDefault="00000000">
      <w:pPr>
        <w:spacing w:after="120"/>
        <w:jc w:val="center"/>
      </w:pPr>
      <w:r>
        <w:rPr>
          <w:b/>
        </w:rPr>
        <w:t>ПО ДРУГОМУ ПИТАННЮ</w:t>
      </w:r>
    </w:p>
    <w:p w14:paraId="0C3091CE" w14:textId="77777777" w:rsidR="006D134E" w:rsidRDefault="00000000">
      <w:r>
        <w:rPr>
          <w:b/>
        </w:rPr>
        <w:t xml:space="preserve">СЛУХАЛИ: </w:t>
      </w:r>
      <w:r>
        <w:t>Голову Організації Головчука Ю. В., який зазначив, що фінансування виплат учасникам дослідження має здійснюватися за рахунок цільових благодійних внесків, які надходять на рахунок Організації для реалізації цього проєкту. Оскільки точна сума майбутніх надходжень може змінюватися, запропоновано затвердити механізм використання коштів у межах їх фактичної наявності на рахунку Організації.</w:t>
      </w:r>
    </w:p>
    <w:p w14:paraId="3E5655CA" w14:textId="77777777" w:rsidR="006D134E" w:rsidRDefault="00000000">
      <w:r>
        <w:rPr>
          <w:b/>
        </w:rPr>
        <w:t>УХВАЛИЛИ:</w:t>
      </w:r>
    </w:p>
    <w:p w14:paraId="11260AF1" w14:textId="77777777" w:rsidR="006D134E" w:rsidRDefault="00000000">
      <w:pPr>
        <w:spacing w:after="40"/>
        <w:ind w:left="340" w:hanging="227"/>
      </w:pPr>
      <w:r>
        <w:t>1. Визначити, що одним із напрямів витрат у межах проєкту є виплата винагороди/компенсації учасникам за добровільну участь в експериментальній частині дослідження.</w:t>
      </w:r>
    </w:p>
    <w:p w14:paraId="7B7E69E2" w14:textId="77777777" w:rsidR="006D134E" w:rsidRDefault="00000000">
      <w:pPr>
        <w:spacing w:after="40"/>
        <w:ind w:left="340" w:hanging="227"/>
      </w:pPr>
      <w:r>
        <w:t>2. Дозволити використання цільових благодійних внесків, отриманих від фізичних та/або юридичних осіб на потреби даного проєкту, для фінансування виплат учасникам у необхідному обсязі, виходячи з фактичної суми наявних цільових коштів.</w:t>
      </w:r>
    </w:p>
    <w:p w14:paraId="3BB0F4FE" w14:textId="77777777" w:rsidR="006D134E" w:rsidRDefault="00000000">
      <w:pPr>
        <w:spacing w:after="40"/>
        <w:ind w:left="340" w:hanging="227"/>
      </w:pPr>
      <w:r>
        <w:lastRenderedPageBreak/>
        <w:t>3. Уповноважити Голову Організації укладати з учасниками документи про участь у дослідженні та виплату винагороди/компенсації, визначаючи розмір нарахованої суми в кожному окремому документі в межах наявного цільового фінансування.</w:t>
      </w:r>
    </w:p>
    <w:p w14:paraId="0EB391B6" w14:textId="77777777" w:rsidR="006D134E" w:rsidRDefault="00000000">
      <w:pPr>
        <w:spacing w:after="40"/>
        <w:ind w:left="340" w:hanging="227"/>
      </w:pPr>
      <w:r>
        <w:t>4. Встановити, що участь осіб у дослідженні не є виконанням робіт, наданням послуг або трудовою діяльністю, а виплата здійснюється як винагорода/компенсація за добровільну участь відповідно до протоколу дослідження.</w:t>
      </w:r>
    </w:p>
    <w:p w14:paraId="19E9BA01" w14:textId="77777777" w:rsidR="006D134E" w:rsidRDefault="00000000">
      <w:pPr>
        <w:spacing w:after="40"/>
        <w:ind w:left="340" w:hanging="227"/>
      </w:pPr>
      <w:r>
        <w:t>5. Доручити Голові Організації забезпечити оформлення протоколу дослідження, інформованих згод учасників, документів про участь, підтверджень участі та реквізитів для безготівкових виплат.</w:t>
      </w:r>
    </w:p>
    <w:p w14:paraId="36916565" w14:textId="77777777" w:rsidR="006D134E" w:rsidRDefault="00000000">
      <w:pPr>
        <w:spacing w:after="40"/>
        <w:ind w:left="340" w:hanging="227"/>
      </w:pPr>
      <w:r>
        <w:t>6. Доручити Голові Організації забезпечити утримання та сплату податку на доходи фізичних осіб і військового збору з суми винагороди кожного учасника згідно з вимогами Податкового кодексу України.</w:t>
      </w:r>
    </w:p>
    <w:p w14:paraId="02EBB3E7" w14:textId="77777777" w:rsidR="006D134E" w:rsidRDefault="00000000">
      <w:pPr>
        <w:spacing w:after="40"/>
        <w:ind w:left="340" w:hanging="227"/>
      </w:pPr>
      <w:r>
        <w:t>7. Здійснювати виплати учасникам виключно після фактичного надходження відповідних цільових коштів на розрахунковий рахунок Організації та після підписання учасником необхідних документів.</w:t>
      </w:r>
    </w:p>
    <w:p w14:paraId="27616116" w14:textId="77777777" w:rsidR="006D134E" w:rsidRDefault="00000000">
      <w:pPr>
        <w:spacing w:after="240"/>
      </w:pPr>
      <w:r>
        <w:rPr>
          <w:b/>
        </w:rPr>
        <w:t xml:space="preserve">ГОЛОСУВАЛИ: </w:t>
      </w:r>
      <w:r>
        <w:t>«за» — 3, «проти» — 0, «утрималися» — 0.</w:t>
      </w:r>
    </w:p>
    <w:p w14:paraId="5DD65D5D" w14:textId="77777777" w:rsidR="006D134E" w:rsidRDefault="006D134E">
      <w:pPr>
        <w:spacing w:after="80"/>
      </w:pPr>
    </w:p>
    <w:tbl>
      <w:tblPr>
        <w:tblW w:w="0" w:type="auto"/>
        <w:jc w:val="center"/>
        <w:tblLook w:val="04A0" w:firstRow="1" w:lastRow="0" w:firstColumn="1" w:lastColumn="0" w:noHBand="0" w:noVBand="1"/>
      </w:tblPr>
      <w:tblGrid>
        <w:gridCol w:w="3288"/>
        <w:gridCol w:w="2381"/>
        <w:gridCol w:w="3118"/>
      </w:tblGrid>
      <w:tr w:rsidR="006D134E" w14:paraId="4BE575E8" w14:textId="77777777" w:rsidTr="00F45635">
        <w:trPr>
          <w:trHeight w:val="2025"/>
          <w:jc w:val="center"/>
        </w:trPr>
        <w:tc>
          <w:tcPr>
            <w:tcW w:w="3288" w:type="dxa"/>
            <w:tcBorders>
              <w:top w:val="nil"/>
              <w:left w:val="nil"/>
              <w:bottom w:val="nil"/>
              <w:right w:val="nil"/>
            </w:tcBorders>
          </w:tcPr>
          <w:p w14:paraId="03C89780" w14:textId="77777777" w:rsidR="006D134E" w:rsidRDefault="00000000" w:rsidP="00F45635">
            <w:r>
              <w:t>Головуючий засідання</w:t>
            </w:r>
          </w:p>
        </w:tc>
        <w:tc>
          <w:tcPr>
            <w:tcW w:w="2381" w:type="dxa"/>
            <w:tcBorders>
              <w:top w:val="nil"/>
              <w:left w:val="nil"/>
              <w:bottom w:val="nil"/>
              <w:right w:val="nil"/>
            </w:tcBorders>
          </w:tcPr>
          <w:p w14:paraId="4168AD64" w14:textId="77777777" w:rsidR="006D134E" w:rsidRDefault="00000000" w:rsidP="00F45635">
            <w:r>
              <w:t>______________</w:t>
            </w:r>
          </w:p>
        </w:tc>
        <w:tc>
          <w:tcPr>
            <w:tcW w:w="3118" w:type="dxa"/>
            <w:tcBorders>
              <w:top w:val="nil"/>
              <w:left w:val="nil"/>
              <w:bottom w:val="nil"/>
              <w:right w:val="nil"/>
            </w:tcBorders>
          </w:tcPr>
          <w:p w14:paraId="67D0AF64" w14:textId="77777777" w:rsidR="006D134E" w:rsidRDefault="00000000" w:rsidP="00F45635">
            <w:r>
              <w:t>Юліан ГОЛОВЧУК</w:t>
            </w:r>
          </w:p>
        </w:tc>
      </w:tr>
      <w:tr w:rsidR="006D134E" w14:paraId="0D9E7C89" w14:textId="77777777" w:rsidTr="00F45635">
        <w:trPr>
          <w:trHeight w:val="716"/>
          <w:jc w:val="center"/>
        </w:trPr>
        <w:tc>
          <w:tcPr>
            <w:tcW w:w="3288" w:type="dxa"/>
            <w:tcBorders>
              <w:top w:val="nil"/>
              <w:left w:val="nil"/>
              <w:bottom w:val="nil"/>
              <w:right w:val="nil"/>
            </w:tcBorders>
            <w:vAlign w:val="center"/>
          </w:tcPr>
          <w:p w14:paraId="3CE9124F" w14:textId="77777777" w:rsidR="006D134E" w:rsidRDefault="00000000">
            <w:r>
              <w:t>Секретар засідання</w:t>
            </w:r>
          </w:p>
        </w:tc>
        <w:tc>
          <w:tcPr>
            <w:tcW w:w="2381" w:type="dxa"/>
            <w:tcBorders>
              <w:top w:val="nil"/>
              <w:left w:val="nil"/>
              <w:bottom w:val="nil"/>
              <w:right w:val="nil"/>
            </w:tcBorders>
            <w:vAlign w:val="center"/>
          </w:tcPr>
          <w:p w14:paraId="5470300C" w14:textId="77777777" w:rsidR="006D134E" w:rsidRDefault="00000000">
            <w:r>
              <w:t>______________</w:t>
            </w:r>
          </w:p>
        </w:tc>
        <w:tc>
          <w:tcPr>
            <w:tcW w:w="3118" w:type="dxa"/>
            <w:tcBorders>
              <w:top w:val="nil"/>
              <w:left w:val="nil"/>
              <w:bottom w:val="nil"/>
              <w:right w:val="nil"/>
            </w:tcBorders>
            <w:vAlign w:val="center"/>
          </w:tcPr>
          <w:p w14:paraId="6EF023E8" w14:textId="77777777" w:rsidR="006D134E" w:rsidRDefault="00000000">
            <w:r>
              <w:t>Олександр ЛИСЕНКО</w:t>
            </w:r>
          </w:p>
        </w:tc>
      </w:tr>
    </w:tbl>
    <w:p w14:paraId="141C53FC" w14:textId="77777777" w:rsidR="006D134E" w:rsidRDefault="006D134E">
      <w:pPr>
        <w:spacing w:after="40"/>
      </w:pPr>
    </w:p>
    <w:p w14:paraId="1DCEB793" w14:textId="019CA052" w:rsidR="006D134E" w:rsidRDefault="006D134E">
      <w:pPr>
        <w:spacing w:after="0"/>
      </w:pPr>
    </w:p>
    <w:sectPr w:rsidR="006D134E" w:rsidSect="00034616">
      <w:pgSz w:w="12240" w:h="15840"/>
      <w:pgMar w:top="1134" w:right="850"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920939263">
    <w:abstractNumId w:val="8"/>
  </w:num>
  <w:num w:numId="2" w16cid:durableId="2110272100">
    <w:abstractNumId w:val="6"/>
  </w:num>
  <w:num w:numId="3" w16cid:durableId="1289969272">
    <w:abstractNumId w:val="5"/>
  </w:num>
  <w:num w:numId="4" w16cid:durableId="1982298202">
    <w:abstractNumId w:val="4"/>
  </w:num>
  <w:num w:numId="5" w16cid:durableId="1387142422">
    <w:abstractNumId w:val="7"/>
  </w:num>
  <w:num w:numId="6" w16cid:durableId="1113859439">
    <w:abstractNumId w:val="3"/>
  </w:num>
  <w:num w:numId="7" w16cid:durableId="1792818280">
    <w:abstractNumId w:val="2"/>
  </w:num>
  <w:num w:numId="8" w16cid:durableId="698509523">
    <w:abstractNumId w:val="1"/>
  </w:num>
  <w:num w:numId="9" w16cid:durableId="1198198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0E1C"/>
    <w:rsid w:val="0015074B"/>
    <w:rsid w:val="0029639D"/>
    <w:rsid w:val="00326F90"/>
    <w:rsid w:val="006D134E"/>
    <w:rsid w:val="00AA1D8D"/>
    <w:rsid w:val="00B47730"/>
    <w:rsid w:val="00CB0664"/>
    <w:rsid w:val="00F456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3D6DC"/>
  <w14:defaultImageDpi w14:val="300"/>
  <w15:docId w15:val="{F6A23ED6-109F-44B4-B44A-144D2046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60"/>
    </w:pPr>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Yulian Holovchuk</cp:lastModifiedBy>
  <cp:revision>2</cp:revision>
  <dcterms:created xsi:type="dcterms:W3CDTF">2013-12-23T23:15:00Z</dcterms:created>
  <dcterms:modified xsi:type="dcterms:W3CDTF">2026-05-07T09:43:00Z</dcterms:modified>
  <cp:category/>
</cp:coreProperties>
</file>